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31A1F" w:rsidRPr="00231A1F" w:rsidTr="00231A1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231A1F" w:rsidRPr="00231A1F">
              <w:tc>
                <w:tcPr>
                  <w:tcW w:w="5000" w:type="pct"/>
                  <w:vAlign w:val="center"/>
                  <w:hideMark/>
                </w:tcPr>
                <w:p w:rsidR="00231A1F" w:rsidRPr="00231A1F" w:rsidRDefault="00231A1F" w:rsidP="00231A1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 w:val="28"/>
                      <w:lang w:eastAsia="tr-TR"/>
                    </w:rPr>
                  </w:pPr>
                  <w:r w:rsidRPr="00231A1F">
                    <w:rPr>
                      <w:rFonts w:eastAsia="Times New Roman" w:cs="Times New Roman"/>
                      <w:b/>
                      <w:color w:val="000000" w:themeColor="text1"/>
                      <w:sz w:val="28"/>
                      <w:lang w:eastAsia="tr-TR"/>
                    </w:rPr>
                    <w:t>KOMPOZE GÜBRE KULLANIMI</w:t>
                  </w:r>
                </w:p>
                <w:p w:rsidR="00231A1F" w:rsidRPr="00231A1F" w:rsidRDefault="00231A1F" w:rsidP="00231A1F">
                  <w:pPr>
                    <w:spacing w:after="0"/>
                    <w:rPr>
                      <w:rFonts w:eastAsia="Times New Roman" w:cs="Times New Roman"/>
                      <w:color w:val="000000" w:themeColor="text1"/>
                      <w:lang w:eastAsia="tr-TR"/>
                    </w:rPr>
                  </w:pPr>
                </w:p>
              </w:tc>
            </w:tr>
          </w:tbl>
          <w:p w:rsidR="00231A1F" w:rsidRPr="00231A1F" w:rsidRDefault="00231A1F" w:rsidP="00231A1F">
            <w:pPr>
              <w:spacing w:after="0"/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</w:tbl>
    <w:p w:rsidR="00231A1F" w:rsidRPr="00231A1F" w:rsidRDefault="00231A1F" w:rsidP="00231A1F">
      <w:pPr>
        <w:spacing w:after="0"/>
        <w:rPr>
          <w:rFonts w:eastAsia="Times New Roman" w:cs="Times New Roman"/>
          <w:vanish/>
          <w:color w:val="000000" w:themeColor="text1"/>
          <w:lang w:eastAsia="tr-TR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31A1F" w:rsidRPr="00231A1F" w:rsidTr="00231A1F">
        <w:tc>
          <w:tcPr>
            <w:tcW w:w="0" w:type="auto"/>
            <w:hideMark/>
          </w:tcPr>
          <w:p w:rsidR="00231A1F" w:rsidRPr="00231A1F" w:rsidRDefault="00231A1F" w:rsidP="00231A1F">
            <w:pPr>
              <w:spacing w:after="0"/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231A1F" w:rsidRPr="00231A1F" w:rsidTr="00231A1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231A1F" w:rsidRPr="00231A1F">
              <w:tc>
                <w:tcPr>
                  <w:tcW w:w="0" w:type="auto"/>
                  <w:vAlign w:val="center"/>
                  <w:hideMark/>
                </w:tcPr>
                <w:p w:rsidR="00231A1F" w:rsidRPr="00231A1F" w:rsidRDefault="00231A1F" w:rsidP="00231A1F">
                  <w:pPr>
                    <w:spacing w:after="0"/>
                    <w:rPr>
                      <w:rFonts w:eastAsia="Times New Roman" w:cs="Times New Roman"/>
                      <w:color w:val="000000" w:themeColor="text1"/>
                      <w:lang w:eastAsia="tr-TR"/>
                    </w:rPr>
                  </w:pPr>
                </w:p>
              </w:tc>
            </w:tr>
            <w:tr w:rsidR="00231A1F" w:rsidRPr="00231A1F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0"/>
                  </w:tblGrid>
                  <w:tr w:rsidR="00231A1F" w:rsidRPr="00231A1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8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800"/>
                        </w:tblGrid>
                        <w:tr w:rsidR="00231A1F" w:rsidRPr="00231A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Esasen bir gübre cinsi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olmayip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, iki veya daha çok bitki besin maddesi kapsayan gübrelere kompoze (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karisim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) gübreler denilmektedir. Kompoze gübre içerisindeki bitki maddeleri N - P205 ve K2O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sirasina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göre % olarak ifade edilmektedir. Kompoze gübreler birkaç besin maddesini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kapsadiklarindan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uygulamada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kolaylik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ekonomi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saglarlar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Ancak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karisimindaki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besin maddesi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oraninin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yetistirilecek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bitkinin besin maddesi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istegine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uygun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durumunda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kullanilmalari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beklenen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faydayi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saglayamayabilir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Yine besin maddelerinin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zamanlarda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yöntemlerle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gerektiginde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kompoze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kullanilmaz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YURDUMUZDA YAYGIN OLARAK KULLANILAN KOMPOZE GÜBRELER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20.20.0 KOMPOZE GÜBRE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Ülkemizde en 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çesididir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100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kg’indan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20 kg. saf azot, 20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kg.'da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fosfor asidi (P2 05) mevcuttur.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Bilesimindeki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(P2 05) 'in suda erirlik derecesi yüksek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digerlerine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tercih edilir. Azot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kaynagi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amonyum sülfat olan 20.20.0 kompoze gübrede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ayrica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amonyum sülfattan gelen kükürt de mevcuttur. Bundan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dolayi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bitkilerin kükürt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karsilamak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için bu gübreler tercih edilir.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15.15.15. KOMPOZE GÜBRE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olan topraklar ve bitkiler için en uygun kompoze gübredir. Bu gübrenin 100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kg’inda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15 kg. saf azot, l5 kg. fosfor asidi (P2 05) ve 15 Kg. potasyum oksit (K2O) mevcuttur. Bu gübre toprak analizi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yaptirildiktan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sonra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olan topraklarda kullanılmalıdır. Potasyum yönünden zengin topraklarda l5.l5.l5 gübresi yerine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kompoze gübreler kullanılmalıdır.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DIAMONYUM FOSFAT (DAP)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DAP, ülkemizde üretilen gübreler içerisinde en fazla besin maddesi ihtiva eden gübredir. 100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kg’inda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18 kg. N, 46 kg. P205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vardir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Ihtiva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ettigi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fosforun %90’ndan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fazlasi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suda eriyebilir özelliktedir. DAP gübresinin rengi üretimde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aside göre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degismekte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olup; genellikle siyah, koyu gri veya kirli beyaz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olmaktadir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verildikten sonra gerekli rutubeti bulunca, bitkiler DAP gübresinin terkibindeki fosfor ve azottan derhal yararlanabilir. Bütün bitkilere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basariyla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tatbik edilebilir. Bilhassa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bugday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için çok uygundur.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esnasinda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tohum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derinligine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bant halinde verilmesi en ideal tatbik seklidir. Genellikle dönüme 18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kg’dan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 verilebilir. Nispi nem'in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düsük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depolarda senelerce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topaklasmadan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saklanabilir.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FOSFORLU GÜBRELER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Bünyesinde fosfor bulunan gübrelerdir. Bu gübreler: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Kök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tesekkülünü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büyümesini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olgunlasmasini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çabuklastirir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Mahsulün kalitesini yükseltir.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Dane dökümünü önler.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Verimi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çogaltir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kurakliga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dayanikliligini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hastaliklara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mukavemetini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Daneler dolgun olur.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b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color w:val="000000" w:themeColor="text1"/>
                                  <w:lang w:eastAsia="tr-TR"/>
                                </w:rPr>
                                <w:lastRenderedPageBreak/>
                                <w:t>FOSFORLU GÜBRELERIN EKSIKLIGINDE ORTAYA ÇIKAN ARAZLAR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Bitkiler bodur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Dal ve yapraklar tam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anlami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gelisemez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Saplar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zayif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, kök büyümesi ve hububatta sapa kalkma sinirli olur.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yapragi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kirli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yesil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kirmizimtirak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renkte olur.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Meyve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agaçlarinda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sürgünlerin büyümesi, çiçek ve tomurcuk açma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yavaslar</w:t>
                              </w:r>
                              <w:proofErr w:type="spellEnd"/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Verim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düser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left="347"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Fosforlu gübrelerin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fazlaliginda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bitkiye herhangi bir olumsuz etki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görülmemistir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 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YURDUMUZDA YAYGIN OLARAK KULLANILAN FOSFORLU GÜBRELER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TRIPLE SÜPERFOSFAT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Terkibinde %42-44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civarinda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suda eriyebilen fosfor asidi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vardir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Bu gübre daha çok gri veya kirli beyaz renkte granül halinde bulunur. Uzun süre rutubetli yerlerde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saklandiginda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su çekerek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topaklasir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TSP gübresi ekim veya dikimden hemen önce veya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esnasinda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verilmeli, tohum kök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derinligine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gömülmelidir.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POTASYUMLU GÜBRELER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Bünyelerinde potasyum bulunan gübrelerdir.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dayanikliligini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Ürün kalitesini yükseltir.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Bitkinin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olgunlasmasini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çabuklastirir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Verimi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çogaltir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Yurdumuz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topraklari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genelde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bakimindan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yeterli durumda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potasli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 tüketimi de sinirlidir.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Potasli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gübreler toprak analizi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yaptirildiktan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sonra verilen tahlil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sonuçlarina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göre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olan yerlerde, uygun miktarda kullanılmalıdır.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 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POTASYUMLU GÜBRELERIN EKSIKLIGINDE ORTAYA ÇIKAN ARAZLAR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eksikligi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özellikle genç bitkilerde kendini gösterir. Potasyum bitkilerin su ve besin elementi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aliminda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önemli rol oynar. Topraktan yeterli potasyumu alamayan bitkilerde yeterli su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alip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depolama (turgor) hadisesi görülmez. Bu nedenle de yapraklar pörsür,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asagi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dogru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sarkar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kenarlari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önce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açik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yesil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daha sonra kahverengi bir renk alarak ölü dokular meydana gelir.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Bitki dona ve mantar türü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hastaliklara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hassas olur. Potas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eksikligi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hat safhada ise bitkide yaprak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kavrulmasi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kahverengi yaprak lekeleri meydana gelir.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POTASYUMLU GÜBRELERIN FAZLALIGINDA ORTAYA ÇIKAN ARAZLAR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Bitki hücreleri su alarak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siser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Terleme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olayi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su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kaybi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azalir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Sürgün verimi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yavaslar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 Odunsu bitkilerde nadiren araz meydana gelir.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lastRenderedPageBreak/>
                                <w:t>YURDUMUZDA YAYGIN OLARAK KULLANILAN POTASYUMLU GÜBRELER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POTASYUM SÜLFAT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Potasyum sülfat da %50 K20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vardir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Kirli beyaz renkli kristal danecikler halindedir.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nitrati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 olan topraklarda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kullanildiginda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önemli mahsul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artisi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elde edilir. Potasyum sülfat kimyasal olarak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nötral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reaksiyonlu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pH’si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üzerinde kayda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bir etkisi yoktur. Çok uzun süre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kullanildiginda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çok hafif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asitlesme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görülür. Bitki Potasyum sülfattaki K20’dan kolayca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yararlanir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sülfatin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etkisi çabuk olmakla birlikte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yagmur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sulama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yikanmasi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hizlidir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AGÜBRELERIN VERILME METOD VE ZAMANLARI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GÜBRELEME METODLARI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Gübrelerden en iyi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sekilde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faydalanabilmek için, gübrelerin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mahsule uygulanma metodu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 derece önemlidir. Gübrelerin uygulanma metodunun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dogru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seçilmesi gübrelerin etkinlik derecesini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artirir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Gübrelerin verilmesinde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baslica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alti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metot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uygulanmaktadir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 Bunlar: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Serpme seklinde gübreleme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Banda gübreleme (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seritvari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)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Üstten ve yandan verme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Yapraklara püskürtme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Sulama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verme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 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SERPME SEKLINDE GÜBRELEME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Bu metotla gübreler, arazi sürülmeden veya ekimden hemen önce elle veya makine ile toprak yüzeyine muntazam olarak serpilerek ya 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saçilarak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verilebilecegi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gibi, bitkiler biraz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gelistikten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sonra da uygulanabilir. Daha sonra toprak islenerek gübrelerin üzeri örtülür. Serpme seklinde gübreleme su durumlarda uygulanabilir: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Verimli topraklarda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uygulanacagi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kökleri saran bitkiler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yetistirilecegi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zaman,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Fazla miktarda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zaman,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Gübrelerin Muntazam olarak ve bitkiye zarar vermeden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dagiliminin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saglanmasi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Için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,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Hafif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topraklara, potasyumlu gübrelerin verilmesi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düsünüldügü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zaman,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Suda erir azot kapsayan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siraya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yapilmayan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yetistirilecegi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zaman,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Bu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metot , isçi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zaman tasarrufu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 ◦BANDA (SERITVARI) GÜBRELEME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Bu metotta, gübreler ekimden önce, tohum ya da fidenin 3-5 cm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altina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5-8 cm.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yanina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seritler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açilarak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yerlestirilebilecegi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gibi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açilacak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seritlere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toplu halde verildikten sonra üzerleri toprakla örtülerek de verilebilir.  Bu metot: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•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Siraya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ekilen veya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aralari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genis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birakilan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bitkilere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0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• Sabitleme (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Fiksasyon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) kapasitesi yüksek olan topraklara, fosforlu ve potasyumlu gübreler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verilecegi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Böylece, verilen gübrenin toprakla temas yüzeyi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azaltilacagindan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, sabitleme (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fiksasyon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)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önlenmis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olur. Yine bu metot,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verimliligi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düsük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topraklarda ve kök sistemi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zayif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yetistirildikleri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bölgelerde, az miktarda gübre vermek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gerektiginde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Gerek yurdumuzda gerekse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ülkelerde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birçok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arastirma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gübrelerin bant halinde verilmesinin daha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yararli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oldugunu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göstermektedir. Gübre banda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verildigi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 genç bitkinin henüz fazla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gelismemis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olan kökleri, bitki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yakinindaki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bu gübreden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kolaylikla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yararlanmakta ve daha çabuk büyümektedir.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taraftan banda verilen gübrenin içerisinde bitki besin maddesi (özellikle fosfor) bitkiye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yarayisliligini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uzun süre devam ettirmektedir.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lastRenderedPageBreak/>
                                <w:t>ÜSTTEN VEYA YANDAN (BASLIK) GÜBRELEME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Daha önce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ekilmis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bitkiler toprak yüzeyine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çiktiktan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sonra üstten veya yandan gübrelenir. Bu metot daha çok erken ilkbaharda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azotlu gübrelerin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uygulanmasinda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kullanilmaktadir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Üstten gübreleme bitkilerin üzerine serpilerek, yandan gübreleme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aralarina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verilerek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yapilmaktadir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YAPRAKLARA PÜSKÜRTME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Genel olarak meyve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kültür bitkilerinde mikro element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noksanligi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görüldügünde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ticaret gübreleri eriyik halinde yapraklara verilir. Bu maddeler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yapraklarin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kütikula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gözeneklerinden girerek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ulasir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soguk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sicak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iklim bölgelerinde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N.P.K. sinirli olarak verilir. Gübreler eriyik halinde verilirken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yapraklarin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yas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olmamasina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özellikle dikkat edilmelidir. Mücadele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ilaçlari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birlikte vermek de mümkündür. Ancak dikkat edilecek husus, gübrelerin kalsiyum, sülfür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yada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yalniz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sülfür kapsayan ilaçlarla birlikte verilmemesidir. Azot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noksanligi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görüldügünde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yapraklara en fazla ÜRE seklinde vermek mümkündür.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SULAMA SUYU ILE GÜBRELEME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Bu metotta, sulama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karistirilan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verilir. Sulama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gübreleme daha ziyade narenciye,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sekerpancari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yonca gibi bitkilere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Avantajlarinin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yaninda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dezavantajlari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vardir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Örnegin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fosfor kapsayan gübrelerin suda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erirliginin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nedeniyle serpmeye veya banda vermeye oranla etkisi daha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azdir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Potasli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gübreler sulama ile verilebilir. Sulama suyunun çok kireçli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olmamasina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dikkat edilmelidir.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GÜBRELERIN VERILME ZAMANLARI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Gübrelerin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iklime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yetistirilen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bitkiye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olarak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degismektedir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Toprak sahip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fiziksel, kimyasal ve biyolojik özellikleri ile gübrenin uygulama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önemli ölçüde etkiler. Esas olan tohumun çimlenmesi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esnasinda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köklerin hemen yani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yeterli miktarda bitki besin maddesi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bulunmasidir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Gübreleme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tayininde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baz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alinabilecek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en önemli ölçü de budur.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Aksi takdirde gübrelemeden beklenen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basari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çok yüksek olmayabilir. Bu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bakimdan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 verme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konusunda standart bir takvim tavsiye etmek mümkün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degildir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Ancak temel besin elementlerinden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NPK’nin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uygulama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konusunda kaba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hatlari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bazi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hususlari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belirtmek mümkündür.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AZOTLU GÜBRELERIN VERILME ZAMANLARI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Azotlu gübreler toprakta çok hareketli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olduklari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için fazla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yagislarla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sulama suyuyla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yikanarak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gaz halinde uçarak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kayiplara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ugrayabilir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Bu gibi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kayiplari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önlemek ve bitkinin bu besin maddesine en fazla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oldugu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zamanda onu toprakta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hazir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bulundurmak için bazen gerekli 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miktarinin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hepsi bir defada ekim veya dikimde verilmeyip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çesitli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büyüme devrelerinde olmak üzere birkaç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bölünerek verilmelidir.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  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Tahillarda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ekimle birlikte A.Sülfat ve Üre gibi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yikanmak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suretiyle topraktaki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kaybi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daha az olan azotlu gübreler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Kardeslenme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döneminden önce özellikle CAN, bu gübrenin tedarik edilmemesi halinde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yagislardan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önce olmak üzere ÜRE gübresi kullanılmalıdır.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Bugday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ziraatinin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genis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ölçüde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yapildigi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yerlerde kurak giden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yillarda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2’nci N (Azot)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tatbikatindan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vazgeçilmesi gerekir. Derin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iyi nadas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edilmis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topraklarda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yagisin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normal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gittigi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yillarda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yeterli miktarda azotlu gübre kullanmak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sarttir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Default="00231A1F" w:rsidP="00231A1F">
                              <w:pPr>
                                <w:spacing w:after="173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    </w:t>
                              </w: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Meyve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agaçlarinda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azot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noksanligi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görüldügünde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çiçeklenmeden önce ve sonbaharda % 0,5-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1.0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konsantrasyonda ÜRE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hazirlanarak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püskürtme seklinde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verilebilir. Yine meyve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agaçlarinda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azot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noksanligini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gidermek için azotlu gübre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agaç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altindaki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(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gövdenin 0,5m.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çevresindeki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saha hariç tutulmak suretiyle) satha serpilip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tirmik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çapa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karistirilir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Ayrica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meyve ve narenciye bahçelerinde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aralarinin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traktör ile islenmesi mümkün olan hallerde l.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yil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kuzey-güney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dogrultusundaki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, 2.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yil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dogu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-bati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dogrultusundaki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siralara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 isleme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esnasinda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verilebilir.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Baglarin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gübrelenmesinde; Azotlu (N) gübrelerden A.Sülfat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CAN’in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Subat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Mart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Aylarinda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 islemesi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, ÜRE gibi Azotlu (N) gübreler ise ilk çapadan önce verilmelidir.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Sebzelerde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vegetasyon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dönemleri dikkate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alinarak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l veya 2 defa verilebilir. Verilecek azotlu (N) gübrenin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tercihen A.Sülfat halinde dikimden 15 gün sonra, II.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meyve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baglandiktan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sonra, gövdeden 5-10 cm. yana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atilarak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hafifçe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karistirilir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 Bostan (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kavun,karpuz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)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tariminda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verilecek azotlu (N) gübrenin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aninda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ocak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siralarinin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yanina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uygulanmali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yapilmalidir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Azotlu (N) gübrenin II.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çapadan önce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ocaklarin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etrafina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serpilmeli veya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siralarin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yanina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uygulanmalidir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FOSFORLU GÜBRELERIN VERILME ZAMANLARI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Yurdumuz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topraklarinin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asit karakterli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bir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çogunlukla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kireçli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olduklarindan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bu topraklara verilen fosforlu gübreler zamanla bitkilerin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kolaylikla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yararlanamayacagi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sekilde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toprakta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baglanirlar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Bu nedenle fosforlu gübreler ekimden veya dikimden hemen önce veya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esnasinda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verilmeli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mutlaka gömülmelidir.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Fosforlu gübreler ekimden çok önce veya bitki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gelismelerinin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ileri döneminde tatbik edilecek olursa bu gübrelerden beklenen fayda tam olarak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saglanamaz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Fosforlu gübreler, toprakta çok az hareket ederler. Fosfor kök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gelismesi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için çok gereklidir. Verilen gübrenin büyük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ilk 10 gün içinde l mm.lik alandaki bitki kökleri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tarafindan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alinabilir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Gelismenin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ileri devrelerinde ise bitki kökleri 5 mm.lik alandaki fosfordan da yararlanabilir. Bu nedenle;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Tahillarda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fosforlu gübrelerin ekimden önce ya da ekim ile birlikte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verilmesi gerekir.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Meyvelerde (özellikle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yumusak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çekirdekli) yaprak döküm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veya hasattan sonra bir defa da verilir.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Sebzelerde fosforlu gübrenin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tamami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dikim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sirasinda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kök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derinligine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yani fide dikim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kariginin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tabanina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atilmalidir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susuz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sartlarda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fosfor azot ile birlikte en geç Ocak,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Subat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aylarinda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hafriyati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pulluk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altina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verilmelidir. Sulu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sartlarda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azotun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yarisi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fosfor ve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potasin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tamami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hafriyatinda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pulluk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altina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verilmelidir.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lang w:eastAsia="tr-TR"/>
                                </w:rPr>
                                <w:t>POTASYUMLU GÜBRELERIN VERILME ZAMANLARI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Potasyumlu gübrelerin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kullanilma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zamanlarinin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belirlenmesinde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kil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kapsami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ile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kullanilacak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gübrenin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miktari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dikkate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alinir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Eger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toprak kil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kapsaminca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zengin bir toprak ise potasyumlu gübreler ekimden önce verilir. Kil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kapsami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düsük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yikanma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tehlikesi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olacagi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için ekimden sonra verilmelidir.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fazla ise; gübrenin bir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ekim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zamaninda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geriye kalan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kismi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gelismenin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belirli bir döneminde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Yumusak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çekirdekli meyvelerde potasyum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ihtiyaci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çok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fazladir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Bunun için yaprak dökümü döneminde veya hasattan sonra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uygulanir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.</w:t>
                              </w:r>
                            </w:p>
                            <w:p w:rsidR="00231A1F" w:rsidRPr="00231A1F" w:rsidRDefault="00231A1F" w:rsidP="00231A1F">
                              <w:pPr>
                                <w:spacing w:after="173"/>
                                <w:ind w:firstLine="347"/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</w:pPr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Sebzelerde,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yetisme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süresi içinde birkaç defada verilir. Bu dönemler, dikimden önce çiçeklenme ve meyveler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olgunlasmaya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basladigi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zamanlardir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Bazi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sebze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çesitlerinde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dikim veya </w:t>
                              </w:r>
                              <w:proofErr w:type="gram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ekimden</w:t>
                              </w:r>
                              <w:proofErr w:type="gram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2-3 hafta kadar önce fosforlu gübreler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topraga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verilir.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Baglarda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ise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kis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devresinde verilir. Klora </w:t>
                              </w:r>
                              <w:proofErr w:type="spellStart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>karsi</w:t>
                              </w:r>
                              <w:proofErr w:type="spellEnd"/>
                              <w:r w:rsidRPr="00231A1F">
                                <w:rPr>
                                  <w:rFonts w:eastAsia="Times New Roman" w:cs="Times New Roman"/>
                                  <w:color w:val="000000" w:themeColor="text1"/>
                                  <w:lang w:eastAsia="tr-TR"/>
                                </w:rPr>
                                <w:t xml:space="preserve"> hassas bitkilerde potasyum sülfat gübresi kullanılmalıdır.</w:t>
                              </w:r>
                            </w:p>
                          </w:tc>
                        </w:tr>
                      </w:tbl>
                      <w:p w:rsidR="00231A1F" w:rsidRPr="00231A1F" w:rsidRDefault="00231A1F" w:rsidP="00231A1F">
                        <w:pPr>
                          <w:spacing w:after="0"/>
                          <w:rPr>
                            <w:rFonts w:eastAsia="Times New Roman" w:cs="Times New Roman"/>
                            <w:color w:val="000000" w:themeColor="text1"/>
                            <w:lang w:eastAsia="tr-TR"/>
                          </w:rPr>
                        </w:pPr>
                      </w:p>
                    </w:tc>
                  </w:tr>
                </w:tbl>
                <w:p w:rsidR="00231A1F" w:rsidRPr="00231A1F" w:rsidRDefault="00231A1F" w:rsidP="00231A1F">
                  <w:pPr>
                    <w:spacing w:after="0"/>
                    <w:rPr>
                      <w:rFonts w:eastAsia="Times New Roman" w:cs="Times New Roman"/>
                      <w:color w:val="000000" w:themeColor="text1"/>
                      <w:lang w:eastAsia="tr-TR"/>
                    </w:rPr>
                  </w:pPr>
                </w:p>
              </w:tc>
            </w:tr>
          </w:tbl>
          <w:p w:rsidR="00231A1F" w:rsidRPr="00231A1F" w:rsidRDefault="00231A1F" w:rsidP="00231A1F">
            <w:pPr>
              <w:spacing w:after="0"/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</w:tbl>
    <w:p w:rsidR="00B4035F" w:rsidRPr="00231A1F" w:rsidRDefault="00B4035F" w:rsidP="00231A1F">
      <w:pPr>
        <w:rPr>
          <w:rFonts w:cs="Times New Roman"/>
          <w:color w:val="000000" w:themeColor="text1"/>
        </w:rPr>
      </w:pPr>
    </w:p>
    <w:sectPr w:rsidR="00B4035F" w:rsidRPr="00231A1F" w:rsidSect="00231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1A1F"/>
    <w:rsid w:val="00231A1F"/>
    <w:rsid w:val="00B4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slik2">
    <w:name w:val="baslik2"/>
    <w:basedOn w:val="Normal"/>
    <w:rsid w:val="002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1A1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cp:lastPrinted>2018-02-01T20:41:00Z</cp:lastPrinted>
  <dcterms:created xsi:type="dcterms:W3CDTF">2018-02-01T20:30:00Z</dcterms:created>
  <dcterms:modified xsi:type="dcterms:W3CDTF">2018-02-01T20:41:00Z</dcterms:modified>
</cp:coreProperties>
</file>