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37D" w:rsidRDefault="0000537D" w:rsidP="00951516">
      <w:pPr>
        <w:spacing w:before="205"/>
        <w:ind w:right="2712"/>
        <w:jc w:val="center"/>
        <w:rPr>
          <w:b/>
          <w:sz w:val="24"/>
        </w:rPr>
      </w:pPr>
      <w:r w:rsidRPr="0000537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58.7pt;margin-top:61.05pt;width:474.9pt;height:100pt;rotation:300;z-index:-15819776;mso-position-horizontal-relative:page" fillcolor="#bfbfbf" stroked="f">
            <v:fill opacity="18761f"/>
            <o:extrusion v:ext="view" autorotationcenter="t"/>
            <v:textpath style="font-family:&quot;Arial&quot;;font-size:100pt;font-weight:bold;v-text-kern:t;mso-text-shadow:auto" string="T A G E M"/>
            <w10:wrap anchorx="page"/>
          </v:shape>
        </w:pict>
      </w:r>
      <w:r w:rsidR="00951516">
        <w:rPr>
          <w:b/>
          <w:sz w:val="24"/>
        </w:rPr>
        <w:t xml:space="preserve">                             </w:t>
      </w:r>
      <w:r w:rsidR="00D84D29">
        <w:rPr>
          <w:b/>
          <w:sz w:val="24"/>
        </w:rPr>
        <w:t>ERİK PASI</w:t>
      </w:r>
    </w:p>
    <w:p w:rsidR="0000537D" w:rsidRDefault="00D84D29" w:rsidP="00951516">
      <w:pPr>
        <w:spacing w:before="99"/>
        <w:ind w:left="1861" w:right="2715"/>
        <w:jc w:val="center"/>
        <w:rPr>
          <w:b/>
          <w:sz w:val="24"/>
        </w:rPr>
      </w:pPr>
      <w:r>
        <w:rPr>
          <w:b/>
          <w:i/>
          <w:sz w:val="24"/>
        </w:rPr>
        <w:t xml:space="preserve">Tranzschelia pruni-spinosae </w:t>
      </w:r>
      <w:r>
        <w:rPr>
          <w:b/>
          <w:sz w:val="24"/>
        </w:rPr>
        <w:t>(Pers.) Dietel</w:t>
      </w:r>
    </w:p>
    <w:p w:rsidR="0000537D" w:rsidRDefault="0000537D">
      <w:pPr>
        <w:pStyle w:val="GvdeMetni"/>
        <w:rPr>
          <w:b/>
          <w:sz w:val="26"/>
        </w:rPr>
      </w:pPr>
    </w:p>
    <w:p w:rsidR="0000537D" w:rsidRDefault="00D84D29">
      <w:pPr>
        <w:pStyle w:val="Heading1"/>
        <w:numPr>
          <w:ilvl w:val="0"/>
          <w:numId w:val="1"/>
        </w:numPr>
        <w:tabs>
          <w:tab w:val="left" w:pos="523"/>
        </w:tabs>
        <w:spacing w:before="173"/>
        <w:ind w:hanging="222"/>
      </w:pPr>
      <w:r>
        <w:t>TANIMI VE</w:t>
      </w:r>
      <w:r>
        <w:rPr>
          <w:spacing w:val="-2"/>
        </w:rPr>
        <w:t xml:space="preserve"> </w:t>
      </w:r>
      <w:r>
        <w:t>YAŞAYIŞI</w:t>
      </w:r>
    </w:p>
    <w:p w:rsidR="0000537D" w:rsidRDefault="00D84D29">
      <w:pPr>
        <w:pStyle w:val="GvdeMetni"/>
        <w:spacing w:before="95" w:line="237" w:lineRule="auto"/>
        <w:ind w:left="301" w:right="1148"/>
        <w:jc w:val="both"/>
      </w:pPr>
      <w:r>
        <w:t xml:space="preserve">Hastalık etmeni olan </w:t>
      </w:r>
      <w:r>
        <w:rPr>
          <w:i/>
        </w:rPr>
        <w:t xml:space="preserve">Tranzschelia pruni-spinosae </w:t>
      </w:r>
      <w:r>
        <w:t xml:space="preserve">kışı enfekteli yapraklar ya da genç sürgünlerde teliospor ya da uygun koşullarda üredospor halinde geçirir. Ayrı- ca etrafta yabani erik ve badem varsa alternatif konukçu olarak bunlarda da telio- spor enfeksiyonu görülebilir. Ayrıca </w:t>
      </w:r>
      <w:r>
        <w:rPr>
          <w:i/>
        </w:rPr>
        <w:t xml:space="preserve">Anemon </w:t>
      </w:r>
      <w:r>
        <w:t>spp. (dağ lales</w:t>
      </w:r>
      <w:r>
        <w:t xml:space="preserve">i) ve </w:t>
      </w:r>
      <w:r>
        <w:rPr>
          <w:i/>
        </w:rPr>
        <w:t xml:space="preserve">Eranthis hyema- lis </w:t>
      </w:r>
      <w:r>
        <w:t>(kış boynuzotu) gibi bitkilerde alternatif konukçular arasında yer almaktadır.</w:t>
      </w:r>
    </w:p>
    <w:p w:rsidR="00951516" w:rsidRDefault="00951516">
      <w:pPr>
        <w:pStyle w:val="GvdeMetni"/>
        <w:spacing w:before="95" w:line="237" w:lineRule="auto"/>
        <w:ind w:left="301" w:right="1148"/>
        <w:jc w:val="both"/>
      </w:pPr>
    </w:p>
    <w:p w:rsidR="0000537D" w:rsidRDefault="00D84D29">
      <w:pPr>
        <w:pStyle w:val="GvdeMetni"/>
        <w:spacing w:before="96" w:line="237" w:lineRule="auto"/>
        <w:ind w:left="301" w:right="1152"/>
        <w:jc w:val="both"/>
      </w:pPr>
      <w:r>
        <w:t>Etmenin ülkemizde de eriklerde bir varyetesi daha saptanmıştır (</w:t>
      </w:r>
      <w:r>
        <w:rPr>
          <w:i/>
        </w:rPr>
        <w:t xml:space="preserve">Tranzschelia pruni-spinosa </w:t>
      </w:r>
      <w:r>
        <w:t xml:space="preserve">(Pers.) Dietel var. </w:t>
      </w:r>
      <w:r>
        <w:rPr>
          <w:i/>
        </w:rPr>
        <w:t xml:space="preserve">discolor </w:t>
      </w:r>
      <w:r>
        <w:t>(Fuckel)). Etmenlerin ayrımı te</w:t>
      </w:r>
      <w:r>
        <w:t>liospor morfolojilerinden yapılmakta olup teliosporlar iki hücreli ve daha koyu renkli, üredosporlar ise tek hücreli ve açık renklidir.</w:t>
      </w:r>
    </w:p>
    <w:p w:rsidR="00951516" w:rsidRDefault="00951516">
      <w:pPr>
        <w:pStyle w:val="GvdeMetni"/>
        <w:spacing w:before="96" w:line="237" w:lineRule="auto"/>
        <w:ind w:left="301" w:right="1152"/>
        <w:jc w:val="both"/>
      </w:pPr>
    </w:p>
    <w:p w:rsidR="0000537D" w:rsidRDefault="00D84D29">
      <w:pPr>
        <w:pStyle w:val="GvdeMetni"/>
        <w:spacing w:before="95"/>
        <w:ind w:left="301" w:right="1151"/>
        <w:jc w:val="both"/>
      </w:pPr>
      <w:r>
        <w:t>Primer enfeksiyonlar ilkbahar sonlarında çoğunlukla yere düşen yapraklarda kışlayan üredosporlar tarafından yapılır. Anc</w:t>
      </w:r>
      <w:r>
        <w:t>ak kışı soğuk geçen bölgelerde teliosporlardan oluşan bazidiosporlarda primer enfeksiyonlarda söz konusu olabilmektedir. Uredosporlar geniş bir sıcaklık aralığında çimlenebilirler (8-38</w:t>
      </w:r>
      <w:r>
        <w:rPr>
          <w:rFonts w:ascii="Symbol" w:hAnsi="Symbol"/>
        </w:rPr>
        <w:t></w:t>
      </w:r>
      <w:r>
        <w:t>C; opt.13-26</w:t>
      </w:r>
      <w:r>
        <w:rPr>
          <w:rFonts w:ascii="Symbol" w:hAnsi="Symbol"/>
        </w:rPr>
        <w:t></w:t>
      </w:r>
      <w:r>
        <w:t>C) ve rüzgârla kolayca yayılabilirler.</w:t>
      </w:r>
    </w:p>
    <w:p w:rsidR="00951516" w:rsidRDefault="00951516">
      <w:pPr>
        <w:pStyle w:val="GvdeMetni"/>
        <w:spacing w:before="95"/>
        <w:ind w:left="301" w:right="1151"/>
        <w:jc w:val="both"/>
      </w:pPr>
    </w:p>
    <w:p w:rsidR="00951516" w:rsidRDefault="00951516">
      <w:pPr>
        <w:pStyle w:val="GvdeMetni"/>
        <w:spacing w:before="95"/>
        <w:ind w:left="301" w:right="1151"/>
        <w:jc w:val="both"/>
      </w:pPr>
    </w:p>
    <w:p w:rsidR="0000537D" w:rsidRDefault="00D84D29">
      <w:pPr>
        <w:pStyle w:val="Heading1"/>
        <w:numPr>
          <w:ilvl w:val="0"/>
          <w:numId w:val="1"/>
        </w:numPr>
        <w:tabs>
          <w:tab w:val="left" w:pos="523"/>
        </w:tabs>
        <w:spacing w:before="103"/>
        <w:ind w:hanging="222"/>
      </w:pPr>
      <w:r>
        <w:t>BELİRTİLERİ, EKONO</w:t>
      </w:r>
      <w:r>
        <w:t>MİK ÖNEMİ VE YAYILIŞI</w:t>
      </w:r>
    </w:p>
    <w:p w:rsidR="0000537D" w:rsidRDefault="00D84D29">
      <w:pPr>
        <w:pStyle w:val="GvdeMetni"/>
        <w:spacing w:before="95" w:line="237" w:lineRule="auto"/>
        <w:ind w:left="301" w:right="1152"/>
        <w:jc w:val="both"/>
      </w:pPr>
      <w:r>
        <w:t>Hastalığın ilk belirtileri mayıs-haziran aylarında üredospor enfeksiyonu sonucu yaprağın üst yüzeyinde parlak sarı renkli klorotik lekeler şeklinde görülür. Daha sonra yaprağın alt yüzeyinde bu lekelerin altında turuncu renkli püstüll</w:t>
      </w:r>
      <w:r>
        <w:t>er görülür</w:t>
      </w:r>
    </w:p>
    <w:p w:rsidR="0000537D" w:rsidRDefault="0000537D">
      <w:pPr>
        <w:spacing w:line="237" w:lineRule="auto"/>
        <w:jc w:val="both"/>
        <w:sectPr w:rsidR="0000537D">
          <w:headerReference w:type="default" r:id="rId7"/>
          <w:footerReference w:type="default" r:id="rId8"/>
          <w:type w:val="continuous"/>
          <w:pgSz w:w="11910" w:h="16850"/>
          <w:pgMar w:top="1600" w:right="1680" w:bottom="2520" w:left="1400" w:header="968" w:footer="2327" w:gutter="0"/>
          <w:cols w:space="708"/>
        </w:sectPr>
      </w:pPr>
    </w:p>
    <w:p w:rsidR="0000537D" w:rsidRDefault="00D84D29">
      <w:pPr>
        <w:pStyle w:val="GvdeMetni"/>
        <w:spacing w:before="81"/>
        <w:ind w:left="301" w:right="1148"/>
        <w:jc w:val="both"/>
      </w:pPr>
      <w:r>
        <w:rPr>
          <w:noProof/>
          <w:lang w:eastAsia="tr-TR"/>
        </w:rPr>
        <w:lastRenderedPageBreak/>
        <w:drawing>
          <wp:anchor distT="0" distB="0" distL="0" distR="0" simplePos="0" relativeHeight="487497216" behindDoc="1" locked="0" layoutInCell="1" allowOverlap="1">
            <wp:simplePos x="0" y="0"/>
            <wp:positionH relativeFrom="page">
              <wp:posOffset>1084800</wp:posOffset>
            </wp:positionH>
            <wp:positionV relativeFrom="paragraph">
              <wp:posOffset>694912</wp:posOffset>
            </wp:positionV>
            <wp:extent cx="4479514" cy="151180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479514" cy="1511807"/>
                    </a:xfrm>
                    <a:prstGeom prst="rect">
                      <a:avLst/>
                    </a:prstGeom>
                  </pic:spPr>
                </pic:pic>
              </a:graphicData>
            </a:graphic>
          </wp:anchor>
        </w:drawing>
      </w:r>
      <w:r w:rsidR="0000537D">
        <w:pict>
          <v:shape id="_x0000_s1027" type="#_x0000_t136" style="position:absolute;left:0;text-align:left;margin-left:58.7pt;margin-top:291.05pt;width:474.9pt;height:100pt;rotation:300;z-index:-15818752;mso-position-horizontal-relative:page;mso-position-vertical-relative:text" fillcolor="#bfbfbf" stroked="f">
            <v:fill opacity="18761f"/>
            <o:extrusion v:ext="view" autorotationcenter="t"/>
            <v:textpath style="font-family:&quot;Arial&quot;;font-size:100pt;font-weight:bold;v-text-kern:t;mso-text-shadow:auto" string="T A G E M"/>
            <w10:wrap anchorx="page"/>
          </v:shape>
        </w:pict>
      </w:r>
      <w:r>
        <w:t xml:space="preserve">ve burada yeni üredosporlar oluşarak sekonder enfeksiyonları gerçekleştirir. Yaz sonuna doğru ise püstüller koyulaşır ve üredosporlar teliospor halini alır </w:t>
      </w:r>
      <w:r>
        <w:rPr>
          <w:b/>
        </w:rPr>
        <w:t>(Şekil  18)</w:t>
      </w:r>
      <w:r>
        <w:t>.</w:t>
      </w:r>
    </w:p>
    <w:p w:rsidR="0000537D" w:rsidRDefault="0000537D">
      <w:pPr>
        <w:pStyle w:val="GvdeMetni"/>
        <w:spacing w:before="1" w:after="1"/>
      </w:pPr>
    </w:p>
    <w:tbl>
      <w:tblPr>
        <w:tblStyle w:val="TableNormal"/>
        <w:tblW w:w="0" w:type="auto"/>
        <w:tblInd w:w="109" w:type="dxa"/>
        <w:tblLayout w:type="fixed"/>
        <w:tblLook w:val="01E0"/>
      </w:tblPr>
      <w:tblGrid>
        <w:gridCol w:w="7456"/>
      </w:tblGrid>
      <w:tr w:rsidR="0000537D">
        <w:trPr>
          <w:trHeight w:val="2440"/>
        </w:trPr>
        <w:tc>
          <w:tcPr>
            <w:tcW w:w="7456" w:type="dxa"/>
          </w:tcPr>
          <w:p w:rsidR="0000537D" w:rsidRDefault="0000537D">
            <w:pPr>
              <w:pStyle w:val="TableParagraph"/>
              <w:rPr>
                <w:sz w:val="30"/>
              </w:rPr>
            </w:pPr>
          </w:p>
          <w:p w:rsidR="0000537D" w:rsidRDefault="0000537D">
            <w:pPr>
              <w:pStyle w:val="TableParagraph"/>
              <w:rPr>
                <w:sz w:val="30"/>
              </w:rPr>
            </w:pPr>
          </w:p>
          <w:p w:rsidR="0000537D" w:rsidRDefault="0000537D">
            <w:pPr>
              <w:pStyle w:val="TableParagraph"/>
              <w:rPr>
                <w:sz w:val="30"/>
              </w:rPr>
            </w:pPr>
          </w:p>
          <w:p w:rsidR="0000537D" w:rsidRDefault="0000537D">
            <w:pPr>
              <w:pStyle w:val="TableParagraph"/>
              <w:rPr>
                <w:sz w:val="30"/>
              </w:rPr>
            </w:pPr>
          </w:p>
          <w:p w:rsidR="0000537D" w:rsidRDefault="0000537D">
            <w:pPr>
              <w:pStyle w:val="TableParagraph"/>
              <w:spacing w:before="11"/>
              <w:rPr>
                <w:sz w:val="39"/>
              </w:rPr>
            </w:pPr>
          </w:p>
          <w:p w:rsidR="0000537D" w:rsidRDefault="00D84D29">
            <w:pPr>
              <w:pStyle w:val="TableParagraph"/>
              <w:tabs>
                <w:tab w:val="left" w:pos="4013"/>
              </w:tabs>
              <w:ind w:left="413"/>
              <w:rPr>
                <w:b/>
                <w:sz w:val="28"/>
              </w:rPr>
            </w:pPr>
            <w:r>
              <w:rPr>
                <w:b/>
                <w:color w:val="FFFFFF"/>
                <w:sz w:val="28"/>
              </w:rPr>
              <w:t>a</w:t>
            </w:r>
            <w:r>
              <w:rPr>
                <w:b/>
                <w:color w:val="FFFFFF"/>
                <w:sz w:val="28"/>
              </w:rPr>
              <w:tab/>
            </w:r>
            <w:r>
              <w:rPr>
                <w:b/>
                <w:sz w:val="28"/>
              </w:rPr>
              <w:t>b</w:t>
            </w:r>
          </w:p>
        </w:tc>
      </w:tr>
      <w:tr w:rsidR="0000537D">
        <w:trPr>
          <w:trHeight w:val="507"/>
        </w:trPr>
        <w:tc>
          <w:tcPr>
            <w:tcW w:w="7456" w:type="dxa"/>
          </w:tcPr>
          <w:p w:rsidR="0000537D" w:rsidRDefault="00D84D29">
            <w:pPr>
              <w:pStyle w:val="TableParagraph"/>
              <w:spacing w:before="58" w:line="226" w:lineRule="exact"/>
              <w:ind w:left="1051" w:hanging="852"/>
              <w:rPr>
                <w:sz w:val="20"/>
              </w:rPr>
            </w:pPr>
            <w:r>
              <w:rPr>
                <w:b/>
                <w:sz w:val="20"/>
              </w:rPr>
              <w:t xml:space="preserve">Şekil 18. </w:t>
            </w:r>
            <w:r>
              <w:rPr>
                <w:sz w:val="20"/>
              </w:rPr>
              <w:t>Erik pasının yapraktaki belirtileri(a) ve yaprak altında meydana gelen püstüller(b).</w:t>
            </w:r>
          </w:p>
        </w:tc>
      </w:tr>
    </w:tbl>
    <w:p w:rsidR="0000537D" w:rsidRDefault="00D84D29">
      <w:pPr>
        <w:pStyle w:val="GvdeMetni"/>
        <w:spacing w:before="118" w:line="237" w:lineRule="auto"/>
        <w:ind w:left="301" w:right="1150"/>
        <w:jc w:val="both"/>
      </w:pPr>
      <w:r>
        <w:t>Hastalık genellikle şiddetli zarar oluşturmamaktadır. Ancak mayıs ve haziran  ayları yağışlı geçerse yaprak, sürgün ve meyve enfeksiyonları görülebileceği için zarar şidd</w:t>
      </w:r>
      <w:r>
        <w:t>eti artabilmektedir. Yaprak enfeksiyonlarının şiddetli olduğu durumlarda yapraklarda dökülmeler ve gövde de zamklanma da görülebilmekte ve zarar daha da artmaktadır.</w:t>
      </w:r>
    </w:p>
    <w:p w:rsidR="0000537D" w:rsidRDefault="00D84D29">
      <w:pPr>
        <w:pStyle w:val="GvdeMetni"/>
        <w:spacing w:before="96" w:line="237" w:lineRule="auto"/>
        <w:ind w:left="301" w:right="1152"/>
        <w:jc w:val="both"/>
      </w:pPr>
      <w:r>
        <w:t>Bu hastalık erik yetiştiriciliği yapılan her yerde görülmektedir. Epidemi yaptığı durumlar</w:t>
      </w:r>
      <w:r>
        <w:t>da verim kaybının %33’e kadar ulaştığı belirlenmiştir.</w:t>
      </w:r>
    </w:p>
    <w:p w:rsidR="0000537D" w:rsidRDefault="00D84D29">
      <w:pPr>
        <w:pStyle w:val="Heading1"/>
        <w:numPr>
          <w:ilvl w:val="0"/>
          <w:numId w:val="1"/>
        </w:numPr>
        <w:tabs>
          <w:tab w:val="left" w:pos="523"/>
        </w:tabs>
        <w:ind w:hanging="222"/>
      </w:pPr>
      <w:r>
        <w:t>KONUKÇULARI</w:t>
      </w:r>
    </w:p>
    <w:p w:rsidR="0000537D" w:rsidRDefault="00D84D29">
      <w:pPr>
        <w:pStyle w:val="GvdeMetni"/>
        <w:spacing w:before="93" w:line="251" w:lineRule="exact"/>
        <w:ind w:left="301"/>
        <w:jc w:val="both"/>
      </w:pPr>
      <w:r>
        <w:t>Etmenin konukçuları, başta kültür ve yabani erik ile badem türleri olmak üzere tüm</w:t>
      </w:r>
    </w:p>
    <w:p w:rsidR="0000537D" w:rsidRDefault="00D84D29">
      <w:pPr>
        <w:spacing w:line="251" w:lineRule="exact"/>
        <w:ind w:left="301"/>
        <w:jc w:val="both"/>
      </w:pPr>
      <w:r>
        <w:rPr>
          <w:i/>
        </w:rPr>
        <w:t xml:space="preserve">Prunus </w:t>
      </w:r>
      <w:r>
        <w:t>türleridir.</w:t>
      </w:r>
    </w:p>
    <w:p w:rsidR="0000537D" w:rsidRDefault="00D84D29">
      <w:pPr>
        <w:pStyle w:val="Heading1"/>
        <w:numPr>
          <w:ilvl w:val="0"/>
          <w:numId w:val="1"/>
        </w:numPr>
        <w:tabs>
          <w:tab w:val="left" w:pos="523"/>
        </w:tabs>
        <w:ind w:hanging="222"/>
      </w:pPr>
      <w:r>
        <w:t>MÜCADELESİ</w:t>
      </w:r>
    </w:p>
    <w:p w:rsidR="0000537D" w:rsidRDefault="00D84D29">
      <w:pPr>
        <w:pStyle w:val="ListeParagraf"/>
        <w:numPr>
          <w:ilvl w:val="1"/>
          <w:numId w:val="1"/>
        </w:numPr>
        <w:tabs>
          <w:tab w:val="left" w:pos="688"/>
        </w:tabs>
        <w:spacing w:before="97"/>
        <w:jc w:val="both"/>
        <w:rPr>
          <w:b/>
        </w:rPr>
      </w:pPr>
      <w:r>
        <w:rPr>
          <w:b/>
        </w:rPr>
        <w:t>Kültürel</w:t>
      </w:r>
      <w:r>
        <w:rPr>
          <w:b/>
          <w:spacing w:val="1"/>
        </w:rPr>
        <w:t xml:space="preserve"> </w:t>
      </w:r>
      <w:r>
        <w:rPr>
          <w:b/>
        </w:rPr>
        <w:t>Önlemler</w:t>
      </w:r>
    </w:p>
    <w:p w:rsidR="0000537D" w:rsidRDefault="00D84D29">
      <w:pPr>
        <w:pStyle w:val="GvdeMetni"/>
        <w:spacing w:before="95" w:line="237" w:lineRule="auto"/>
        <w:ind w:left="301" w:right="1151"/>
        <w:jc w:val="both"/>
      </w:pPr>
      <w:r>
        <w:t>Hastalığın kontrolünde, bir önceki sezondan kalan ve prime</w:t>
      </w:r>
      <w:r>
        <w:t>r enfeksiyon kaynağı olan yaprakların toplanıp yakılması oldukça önemlidir. Ayrıca hastalık belirtisi görülen sürgün ve meyveler ile budama artıkları da mutlaka toplanıp yakılmalı ve etrafta konukçu olabilecek yabani bitkiler varsa bunlar da uzaklaştırılıp</w:t>
      </w:r>
      <w:r>
        <w:t xml:space="preserve"> imha edilmelidir.</w:t>
      </w:r>
    </w:p>
    <w:p w:rsidR="0000537D" w:rsidRDefault="00D84D29">
      <w:pPr>
        <w:pStyle w:val="Heading1"/>
        <w:numPr>
          <w:ilvl w:val="1"/>
          <w:numId w:val="1"/>
        </w:numPr>
        <w:tabs>
          <w:tab w:val="left" w:pos="688"/>
        </w:tabs>
        <w:spacing w:before="99"/>
        <w:jc w:val="both"/>
      </w:pPr>
      <w:r>
        <w:t>Kimyasal</w:t>
      </w:r>
      <w:r>
        <w:rPr>
          <w:spacing w:val="1"/>
        </w:rPr>
        <w:t xml:space="preserve"> </w:t>
      </w:r>
      <w:r>
        <w:t>Mücadele</w:t>
      </w:r>
    </w:p>
    <w:p w:rsidR="0000537D" w:rsidRDefault="00D84D29">
      <w:pPr>
        <w:pStyle w:val="GvdeMetni"/>
        <w:spacing w:before="95" w:line="237" w:lineRule="auto"/>
        <w:ind w:left="301" w:right="1153"/>
        <w:jc w:val="both"/>
      </w:pPr>
      <w:r>
        <w:t>Hastalık görüldüğünde veya bir önceki yıl zarar oluşturduğu durumlarda kimyasal mücadele yapılır.</w:t>
      </w:r>
    </w:p>
    <w:p w:rsidR="0000537D" w:rsidRDefault="00D84D29">
      <w:pPr>
        <w:pStyle w:val="Heading1"/>
        <w:numPr>
          <w:ilvl w:val="2"/>
          <w:numId w:val="1"/>
        </w:numPr>
        <w:tabs>
          <w:tab w:val="left" w:pos="854"/>
        </w:tabs>
        <w:spacing w:before="101"/>
        <w:ind w:hanging="553"/>
        <w:jc w:val="both"/>
      </w:pPr>
      <w:r>
        <w:t>İlaçlama zamanı</w:t>
      </w:r>
    </w:p>
    <w:p w:rsidR="0000537D" w:rsidRDefault="00D84D29">
      <w:pPr>
        <w:pStyle w:val="GvdeMetni"/>
        <w:spacing w:before="95" w:line="237" w:lineRule="auto"/>
        <w:ind w:left="301" w:right="1149"/>
        <w:jc w:val="both"/>
      </w:pPr>
      <w:r>
        <w:t>Hastalığın ilk belirtileri görülünce birinci ilaçlama yapılmalıdır. İklim koşuları hastalık çıkış için uygun olması durumunda kullanılan ilacın etki süresi dikkate alınarak ikinci ve diğer ilaçlamalar yapılmalıdır.</w:t>
      </w:r>
    </w:p>
    <w:p w:rsidR="0000537D" w:rsidRDefault="0000537D">
      <w:pPr>
        <w:spacing w:line="237" w:lineRule="auto"/>
        <w:jc w:val="both"/>
        <w:sectPr w:rsidR="0000537D">
          <w:headerReference w:type="default" r:id="rId10"/>
          <w:footerReference w:type="default" r:id="rId11"/>
          <w:pgSz w:w="11910" w:h="16850"/>
          <w:pgMar w:top="1600" w:right="1680" w:bottom="2520" w:left="1400" w:header="968" w:footer="2327" w:gutter="0"/>
          <w:cols w:space="708"/>
        </w:sectPr>
      </w:pPr>
    </w:p>
    <w:p w:rsidR="0000537D" w:rsidRDefault="0000537D">
      <w:pPr>
        <w:pStyle w:val="GvdeMetni"/>
        <w:rPr>
          <w:sz w:val="20"/>
        </w:rPr>
      </w:pPr>
    </w:p>
    <w:p w:rsidR="0000537D" w:rsidRDefault="00D84D29">
      <w:pPr>
        <w:pStyle w:val="Heading1"/>
        <w:numPr>
          <w:ilvl w:val="2"/>
          <w:numId w:val="1"/>
        </w:numPr>
        <w:tabs>
          <w:tab w:val="left" w:pos="854"/>
        </w:tabs>
        <w:spacing w:before="206"/>
        <w:ind w:hanging="553"/>
      </w:pPr>
      <w:r>
        <w:t>Kullanılacak bitki koruma ürünleri ve</w:t>
      </w:r>
      <w:r>
        <w:rPr>
          <w:spacing w:val="2"/>
        </w:rPr>
        <w:t xml:space="preserve"> </w:t>
      </w:r>
      <w:r>
        <w:t>dozları</w:t>
      </w:r>
    </w:p>
    <w:p w:rsidR="0000537D" w:rsidRDefault="00D84D29">
      <w:pPr>
        <w:pStyle w:val="GvdeMetni"/>
        <w:spacing w:before="95" w:line="237" w:lineRule="auto"/>
        <w:ind w:left="301" w:right="973"/>
      </w:pPr>
      <w:r>
        <w:t>Bakanlık tarafından yayınlanan “Bitki Koruma Ürünleri” kitabında tavsiye edilen bitki koruma ürünleri ve dozları kullanılır.</w:t>
      </w:r>
    </w:p>
    <w:p w:rsidR="0000537D" w:rsidRDefault="00D84D29">
      <w:pPr>
        <w:pStyle w:val="Heading1"/>
        <w:numPr>
          <w:ilvl w:val="2"/>
          <w:numId w:val="1"/>
        </w:numPr>
        <w:tabs>
          <w:tab w:val="left" w:pos="854"/>
        </w:tabs>
        <w:ind w:hanging="553"/>
      </w:pPr>
      <w:r>
        <w:t>Kullanılacak alet ve makineler</w:t>
      </w:r>
    </w:p>
    <w:p w:rsidR="0000537D" w:rsidRDefault="00D84D29">
      <w:pPr>
        <w:pStyle w:val="GvdeMetni"/>
        <w:spacing w:before="92"/>
        <w:ind w:left="301"/>
      </w:pPr>
      <w:r>
        <w:t>İlaçlamada ilaçlanacak alan dikkate alınarak bahçe pülverizatörü kullanılmalıdır.</w:t>
      </w:r>
    </w:p>
    <w:p w:rsidR="0000537D" w:rsidRDefault="0000537D">
      <w:pPr>
        <w:pStyle w:val="Heading1"/>
        <w:numPr>
          <w:ilvl w:val="2"/>
          <w:numId w:val="1"/>
        </w:numPr>
        <w:tabs>
          <w:tab w:val="left" w:pos="854"/>
        </w:tabs>
        <w:spacing w:before="103"/>
        <w:ind w:hanging="553"/>
      </w:pPr>
      <w:r>
        <w:pict>
          <v:shape id="_x0000_s1026" type="#_x0000_t136" style="position:absolute;left:0;text-align:left;margin-left:58.7pt;margin-top:191.8pt;width:474.9pt;height:100pt;rotation:300;z-index:-15818240;mso-position-horizontal-relative:page" fillcolor="#bfbfbf" stroked="f">
            <v:fill opacity="18761f"/>
            <o:extrusion v:ext="view" autorotationcenter="t"/>
            <v:textpath style="font-family:&quot;Arial&quot;;font-size:100pt;font-weight:bold;v-text-kern:t;mso-text-shadow:auto" string="T A G E M"/>
            <w10:wrap anchorx="page"/>
          </v:shape>
        </w:pict>
      </w:r>
      <w:r w:rsidR="00D84D29">
        <w:t>İlaçlama tekniği</w:t>
      </w:r>
    </w:p>
    <w:p w:rsidR="0000537D" w:rsidRDefault="00D84D29">
      <w:pPr>
        <w:pStyle w:val="GvdeMetni"/>
        <w:spacing w:before="92"/>
        <w:ind w:left="301"/>
      </w:pPr>
      <w:r>
        <w:t>İlaçlamalarda ağacın tüm aksamının ilaçlanmasına dikkat edilmelidir.</w:t>
      </w:r>
    </w:p>
    <w:sectPr w:rsidR="0000537D" w:rsidSect="0000537D">
      <w:headerReference w:type="default" r:id="rId12"/>
      <w:footerReference w:type="default" r:id="rId13"/>
      <w:pgSz w:w="11910" w:h="16850"/>
      <w:pgMar w:top="1600" w:right="1680" w:bottom="2520" w:left="1400" w:header="968" w:footer="23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D29" w:rsidRDefault="00D84D29" w:rsidP="0000537D">
      <w:r>
        <w:separator/>
      </w:r>
    </w:p>
  </w:endnote>
  <w:endnote w:type="continuationSeparator" w:id="0">
    <w:p w:rsidR="00D84D29" w:rsidRDefault="00D84D29" w:rsidP="00005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7D" w:rsidRDefault="0000537D">
    <w:pPr>
      <w:pStyle w:val="GvdeMetni"/>
      <w:spacing w:line="14" w:lineRule="auto"/>
      <w:rPr>
        <w:sz w:val="20"/>
      </w:rPr>
    </w:pPr>
    <w:r w:rsidRPr="0000537D">
      <w:pict>
        <v:rect id="_x0000_s2063" style="position:absolute;margin-left:83.65pt;margin-top:715.7pt;width:353.4pt;height:.5pt;z-index:-15818240;mso-position-horizontal-relative:page;mso-position-vertical-relative:page" fillcolor="black" stroked="f">
          <w10:wrap anchorx="page" anchory="page"/>
        </v:rect>
      </w:pict>
    </w:r>
    <w:r w:rsidRPr="0000537D">
      <w:pict>
        <v:shapetype id="_x0000_t202" coordsize="21600,21600" o:spt="202" path="m,l,21600r21600,l21600,xe">
          <v:stroke joinstyle="miter"/>
          <v:path gradientshapeok="t" o:connecttype="rect"/>
        </v:shapetype>
        <v:shape id="_x0000_s2062" type="#_x0000_t202" style="position:absolute;margin-left:84.1pt;margin-top:714.7pt;width:12.1pt;height:13.05pt;z-index:-15817728;mso-position-horizontal-relative:page;mso-position-vertical-relative:page" filled="f" stroked="f">
          <v:textbox inset="0,0,0,0">
            <w:txbxContent>
              <w:p w:rsidR="0000537D" w:rsidRDefault="00D84D29">
                <w:pPr>
                  <w:spacing w:before="10"/>
                  <w:ind w:left="20"/>
                  <w:rPr>
                    <w:sz w:val="20"/>
                  </w:rPr>
                </w:pPr>
                <w:r>
                  <w:rPr>
                    <w:sz w:val="20"/>
                  </w:rPr>
                  <w:t>30</w:t>
                </w:r>
              </w:p>
            </w:txbxContent>
          </v:textbox>
          <w10:wrap anchorx="page" anchory="page"/>
        </v:shape>
      </w:pict>
    </w:r>
    <w:r w:rsidRPr="0000537D">
      <w:pict>
        <v:shape id="_x0000_s2061" type="#_x0000_t202" style="position:absolute;margin-left:159.55pt;margin-top:716.1pt;width:219.6pt;height:13.05pt;z-index:-15817216;mso-position-horizontal-relative:page;mso-position-vertical-relative:page" filled="f" stroked="f">
          <v:textbox inset="0,0,0,0">
            <w:txbxContent>
              <w:p w:rsidR="0000537D" w:rsidRDefault="00D84D29">
                <w:pPr>
                  <w:spacing w:before="10"/>
                  <w:ind w:left="20"/>
                  <w:rPr>
                    <w:sz w:val="20"/>
                  </w:rPr>
                </w:pPr>
                <w:r>
                  <w:rPr>
                    <w:sz w:val="20"/>
                  </w:rPr>
                  <w:t>Tarımsal Araştırmalar ve Politikalar Genel Müdürlüğü</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7D" w:rsidRDefault="0000537D">
    <w:pPr>
      <w:pStyle w:val="GvdeMetni"/>
      <w:spacing w:line="14" w:lineRule="auto"/>
      <w:rPr>
        <w:sz w:val="20"/>
      </w:rPr>
    </w:pPr>
    <w:r w:rsidRPr="0000537D">
      <w:pict>
        <v:rect id="_x0000_s2057" style="position:absolute;margin-left:83.65pt;margin-top:715.7pt;width:353.4pt;height:.5pt;z-index:-15815168;mso-position-horizontal-relative:page;mso-position-vertical-relative:page" fillcolor="black" stroked="f">
          <w10:wrap anchorx="page" anchory="page"/>
        </v:rect>
      </w:pict>
    </w:r>
    <w:r w:rsidRPr="0000537D">
      <w:pict>
        <v:shapetype id="_x0000_t202" coordsize="21600,21600" o:spt="202" path="m,l,21600r21600,l21600,xe">
          <v:stroke joinstyle="miter"/>
          <v:path gradientshapeok="t" o:connecttype="rect"/>
        </v:shapetype>
        <v:shape id="_x0000_s2056" type="#_x0000_t202" style="position:absolute;margin-left:442.5pt;margin-top:714.7pt;width:12.1pt;height:13.05pt;z-index:-15814656;mso-position-horizontal-relative:page;mso-position-vertical-relative:page" filled="f" stroked="f">
          <v:textbox inset="0,0,0,0">
            <w:txbxContent>
              <w:p w:rsidR="0000537D" w:rsidRDefault="00D84D29">
                <w:pPr>
                  <w:spacing w:before="10"/>
                  <w:ind w:left="20"/>
                  <w:rPr>
                    <w:sz w:val="20"/>
                  </w:rPr>
                </w:pPr>
                <w:r>
                  <w:rPr>
                    <w:sz w:val="20"/>
                  </w:rPr>
                  <w:t>31</w:t>
                </w:r>
              </w:p>
            </w:txbxContent>
          </v:textbox>
          <w10:wrap anchorx="page" anchory="page"/>
        </v:shape>
      </w:pict>
    </w:r>
    <w:r w:rsidRPr="0000537D">
      <w:pict>
        <v:shape id="_x0000_s2055" type="#_x0000_t202" style="position:absolute;margin-left:159.55pt;margin-top:716.1pt;width:219.6pt;height:13.05pt;z-index:-15814144;mso-position-horizontal-relative:page;mso-position-vertical-relative:page" filled="f" stroked="f">
          <v:textbox inset="0,0,0,0">
            <w:txbxContent>
              <w:p w:rsidR="0000537D" w:rsidRDefault="00D84D29">
                <w:pPr>
                  <w:spacing w:before="10"/>
                  <w:ind w:left="20"/>
                  <w:rPr>
                    <w:sz w:val="20"/>
                  </w:rPr>
                </w:pPr>
                <w:r>
                  <w:rPr>
                    <w:sz w:val="20"/>
                  </w:rPr>
                  <w:t>Tarımsal Araştırmalar ve Politikalar Genel Müdürlüğü</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7D" w:rsidRDefault="0000537D">
    <w:pPr>
      <w:pStyle w:val="GvdeMetni"/>
      <w:spacing w:line="14" w:lineRule="auto"/>
      <w:rPr>
        <w:sz w:val="20"/>
      </w:rPr>
    </w:pPr>
    <w:r w:rsidRPr="0000537D">
      <w:pict>
        <v:rect id="_x0000_s2051" style="position:absolute;margin-left:83.65pt;margin-top:715.7pt;width:353.4pt;height:.5pt;z-index:-15812096;mso-position-horizontal-relative:page;mso-position-vertical-relative:page" fillcolor="black" stroked="f">
          <w10:wrap anchorx="page" anchory="page"/>
        </v:rect>
      </w:pict>
    </w:r>
    <w:r w:rsidRPr="0000537D">
      <w:pict>
        <v:shapetype id="_x0000_t202" coordsize="21600,21600" o:spt="202" path="m,l,21600r21600,l21600,xe">
          <v:stroke joinstyle="miter"/>
          <v:path gradientshapeok="t" o:connecttype="rect"/>
        </v:shapetype>
        <v:shape id="_x0000_s2050" type="#_x0000_t202" style="position:absolute;margin-left:84.1pt;margin-top:714.7pt;width:12.1pt;height:13.05pt;z-index:-15811584;mso-position-horizontal-relative:page;mso-position-vertical-relative:page" filled="f" stroked="f">
          <v:textbox inset="0,0,0,0">
            <w:txbxContent>
              <w:p w:rsidR="0000537D" w:rsidRDefault="00D84D29">
                <w:pPr>
                  <w:spacing w:before="10"/>
                  <w:ind w:left="20"/>
                  <w:rPr>
                    <w:sz w:val="20"/>
                  </w:rPr>
                </w:pPr>
                <w:r>
                  <w:rPr>
                    <w:sz w:val="20"/>
                  </w:rPr>
                  <w:t>32</w:t>
                </w:r>
              </w:p>
            </w:txbxContent>
          </v:textbox>
          <w10:wrap anchorx="page" anchory="page"/>
        </v:shape>
      </w:pict>
    </w:r>
    <w:r w:rsidRPr="0000537D">
      <w:pict>
        <v:shape id="_x0000_s2049" type="#_x0000_t202" style="position:absolute;margin-left:159.55pt;margin-top:716.1pt;width:219.6pt;height:13.05pt;z-index:-15811072;mso-position-horizontal-relative:page;mso-position-vertical-relative:page" filled="f" stroked="f">
          <v:textbox inset="0,0,0,0">
            <w:txbxContent>
              <w:p w:rsidR="0000537D" w:rsidRDefault="00D84D29">
                <w:pPr>
                  <w:spacing w:before="10"/>
                  <w:ind w:left="20"/>
                  <w:rPr>
                    <w:sz w:val="20"/>
                  </w:rPr>
                </w:pPr>
                <w:r>
                  <w:rPr>
                    <w:sz w:val="20"/>
                  </w:rPr>
                  <w:t>Tarımsal Araştırmalar ve Politikalar Genel Müdürlüğü</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D29" w:rsidRDefault="00D84D29" w:rsidP="0000537D">
      <w:r>
        <w:separator/>
      </w:r>
    </w:p>
  </w:footnote>
  <w:footnote w:type="continuationSeparator" w:id="0">
    <w:p w:rsidR="00D84D29" w:rsidRDefault="00D84D29" w:rsidP="00005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7D" w:rsidRDefault="0000537D">
    <w:pPr>
      <w:pStyle w:val="GvdeMetni"/>
      <w:spacing w:line="14" w:lineRule="auto"/>
      <w:rPr>
        <w:sz w:val="20"/>
      </w:rPr>
    </w:pPr>
    <w:r w:rsidRPr="0000537D">
      <w:pict>
        <v:rect id="_x0000_s2066" style="position:absolute;margin-left:83.65pt;margin-top:58.3pt;width:371.4pt;height:.5pt;z-index:-15819776;mso-position-horizontal-relative:page;mso-position-vertical-relative:page" fillcolor="black" stroked="f">
          <w10:wrap anchorx="page" anchory="page"/>
        </v:rect>
      </w:pict>
    </w:r>
    <w:r w:rsidRPr="0000537D">
      <w:pict>
        <v:shapetype id="_x0000_t202" coordsize="21600,21600" o:spt="202" path="m,l,21600r21600,l21600,xe">
          <v:stroke joinstyle="miter"/>
          <v:path gradientshapeok="t" o:connecttype="rect"/>
        </v:shapetype>
        <v:shape id="_x0000_s2065" type="#_x0000_t202" style="position:absolute;margin-left:84.1pt;margin-top:47.4pt;width:32.65pt;height:10.95pt;z-index:-15819264;mso-position-horizontal-relative:page;mso-position-vertical-relative:page" filled="f" stroked="f">
          <v:textbox inset="0,0,0,0">
            <w:txbxContent>
              <w:p w:rsidR="0000537D" w:rsidRDefault="00D84D29">
                <w:pPr>
                  <w:spacing w:before="14"/>
                  <w:ind w:left="20"/>
                  <w:rPr>
                    <w:b/>
                    <w:sz w:val="16"/>
                  </w:rPr>
                </w:pPr>
                <w:r>
                  <w:rPr>
                    <w:b/>
                    <w:sz w:val="16"/>
                  </w:rPr>
                  <w:t>CİLT IV</w:t>
                </w:r>
              </w:p>
            </w:txbxContent>
          </v:textbox>
          <w10:wrap anchorx="page" anchory="page"/>
        </v:shape>
      </w:pict>
    </w:r>
    <w:r w:rsidRPr="0000537D">
      <w:pict>
        <v:shape id="_x0000_s2064" type="#_x0000_t202" style="position:absolute;margin-left:163.05pt;margin-top:47.4pt;width:232.1pt;height:10.95pt;z-index:-15818752;mso-position-horizontal-relative:page;mso-position-vertical-relative:page" filled="f" stroked="f">
          <v:textbox inset="0,0,0,0">
            <w:txbxContent>
              <w:p w:rsidR="0000537D" w:rsidRDefault="00D84D29">
                <w:pPr>
                  <w:spacing w:before="14"/>
                  <w:ind w:left="20"/>
                  <w:rPr>
                    <w:b/>
                    <w:sz w:val="16"/>
                  </w:rPr>
                </w:pPr>
                <w:r>
                  <w:rPr>
                    <w:b/>
                    <w:sz w:val="16"/>
                  </w:rPr>
                  <w:t>YUMUŞAK VE SERT ÇEKİRDEKLİ MEYVE HASTALIKLARI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7D" w:rsidRDefault="0000537D">
    <w:pPr>
      <w:pStyle w:val="GvdeMetni"/>
      <w:spacing w:line="14" w:lineRule="auto"/>
      <w:rPr>
        <w:sz w:val="20"/>
      </w:rPr>
    </w:pPr>
    <w:r w:rsidRPr="0000537D">
      <w:pict>
        <v:rect id="_x0000_s2060" style="position:absolute;margin-left:83.65pt;margin-top:58.3pt;width:371.4pt;height:.5pt;z-index:-15816704;mso-position-horizontal-relative:page;mso-position-vertical-relative:page" fillcolor="black" stroked="f">
          <w10:wrap anchorx="page" anchory="page"/>
        </v:rect>
      </w:pict>
    </w:r>
    <w:r w:rsidRPr="0000537D">
      <w:pict>
        <v:shapetype id="_x0000_t202" coordsize="21600,21600" o:spt="202" path="m,l,21600r21600,l21600,xe">
          <v:stroke joinstyle="miter"/>
          <v:path gradientshapeok="t" o:connecttype="rect"/>
        </v:shapetype>
        <v:shape id="_x0000_s2059" type="#_x0000_t202" style="position:absolute;margin-left:192.2pt;margin-top:47.4pt;width:168.6pt;height:10.95pt;z-index:-15816192;mso-position-horizontal-relative:page;mso-position-vertical-relative:page" filled="f" stroked="f">
          <v:textbox inset="0,0,0,0">
            <w:txbxContent>
              <w:p w:rsidR="0000537D" w:rsidRDefault="00D84D29">
                <w:pPr>
                  <w:spacing w:before="14"/>
                  <w:ind w:left="20"/>
                  <w:rPr>
                    <w:b/>
                    <w:sz w:val="16"/>
                  </w:rPr>
                </w:pPr>
                <w:r>
                  <w:rPr>
                    <w:b/>
                    <w:sz w:val="16"/>
                  </w:rPr>
                  <w:t>ZİRAİ MÜCADELE TEKNİK TALİMATLARI</w:t>
                </w:r>
              </w:p>
            </w:txbxContent>
          </v:textbox>
          <w10:wrap anchorx="page" anchory="page"/>
        </v:shape>
      </w:pict>
    </w:r>
    <w:r w:rsidRPr="0000537D">
      <w:pict>
        <v:shape id="_x0000_s2058" type="#_x0000_t202" style="position:absolute;margin-left:422.1pt;margin-top:47.4pt;width:32.65pt;height:10.95pt;z-index:-15815680;mso-position-horizontal-relative:page;mso-position-vertical-relative:page" filled="f" stroked="f">
          <v:textbox inset="0,0,0,0">
            <w:txbxContent>
              <w:p w:rsidR="0000537D" w:rsidRDefault="00D84D29">
                <w:pPr>
                  <w:spacing w:before="14"/>
                  <w:ind w:left="20"/>
                  <w:rPr>
                    <w:b/>
                    <w:sz w:val="16"/>
                  </w:rPr>
                </w:pPr>
                <w:r>
                  <w:rPr>
                    <w:b/>
                    <w:sz w:val="16"/>
                  </w:rPr>
                  <w:t>CİLT IV</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7D" w:rsidRDefault="0000537D">
    <w:pPr>
      <w:pStyle w:val="GvdeMetni"/>
      <w:spacing w:line="14" w:lineRule="auto"/>
      <w:rPr>
        <w:sz w:val="20"/>
      </w:rPr>
    </w:pPr>
    <w:r w:rsidRPr="0000537D">
      <w:pict>
        <v:rect id="_x0000_s2054" style="position:absolute;margin-left:83.65pt;margin-top:58.3pt;width:371.4pt;height:.5pt;z-index:-15813632;mso-position-horizontal-relative:page;mso-position-vertical-relative:page" fillcolor="black" stroked="f">
          <w10:wrap anchorx="page" anchory="page"/>
        </v:rect>
      </w:pict>
    </w:r>
    <w:r w:rsidRPr="0000537D">
      <w:pict>
        <v:shapetype id="_x0000_t202" coordsize="21600,21600" o:spt="202" path="m,l,21600r21600,l21600,xe">
          <v:stroke joinstyle="miter"/>
          <v:path gradientshapeok="t" o:connecttype="rect"/>
        </v:shapetype>
        <v:shape id="_x0000_s2053" type="#_x0000_t202" style="position:absolute;margin-left:84.1pt;margin-top:47.4pt;width:32.65pt;height:10.95pt;z-index:-15813120;mso-position-horizontal-relative:page;mso-position-vertical-relative:page" filled="f" stroked="f">
          <v:textbox inset="0,0,0,0">
            <w:txbxContent>
              <w:p w:rsidR="0000537D" w:rsidRDefault="00D84D29">
                <w:pPr>
                  <w:spacing w:before="14"/>
                  <w:ind w:left="20"/>
                  <w:rPr>
                    <w:b/>
                    <w:sz w:val="16"/>
                  </w:rPr>
                </w:pPr>
                <w:r>
                  <w:rPr>
                    <w:b/>
                    <w:sz w:val="16"/>
                  </w:rPr>
                  <w:t>CİLT IV</w:t>
                </w:r>
              </w:p>
            </w:txbxContent>
          </v:textbox>
          <w10:wrap anchorx="page" anchory="page"/>
        </v:shape>
      </w:pict>
    </w:r>
    <w:r w:rsidRPr="0000537D">
      <w:pict>
        <v:shape id="_x0000_s2052" type="#_x0000_t202" style="position:absolute;margin-left:163.05pt;margin-top:47.4pt;width:232.1pt;height:10.95pt;z-index:-15812608;mso-position-horizontal-relative:page;mso-position-vertical-relative:page" filled="f" stroked="f">
          <v:textbox inset="0,0,0,0">
            <w:txbxContent>
              <w:p w:rsidR="0000537D" w:rsidRDefault="00D84D29">
                <w:pPr>
                  <w:spacing w:before="14"/>
                  <w:ind w:left="20"/>
                  <w:rPr>
                    <w:b/>
                    <w:sz w:val="16"/>
                  </w:rPr>
                </w:pPr>
                <w:r>
                  <w:rPr>
                    <w:b/>
                    <w:sz w:val="16"/>
                  </w:rPr>
                  <w:t>YUMUŞAK VE SERT ÇEKİRDEKLİ MEYVE HASTALIKLARI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376AD"/>
    <w:multiLevelType w:val="multilevel"/>
    <w:tmpl w:val="372AC6BC"/>
    <w:lvl w:ilvl="0">
      <w:start w:val="1"/>
      <w:numFmt w:val="decimal"/>
      <w:lvlText w:val="%1."/>
      <w:lvlJc w:val="left"/>
      <w:pPr>
        <w:ind w:left="522" w:hanging="221"/>
        <w:jc w:val="left"/>
      </w:pPr>
      <w:rPr>
        <w:rFonts w:ascii="Times New Roman" w:eastAsia="Times New Roman" w:hAnsi="Times New Roman" w:cs="Times New Roman" w:hint="default"/>
        <w:b/>
        <w:bCs/>
        <w:w w:val="100"/>
        <w:sz w:val="22"/>
        <w:szCs w:val="22"/>
        <w:lang w:val="tr-TR" w:eastAsia="en-US" w:bidi="ar-SA"/>
      </w:rPr>
    </w:lvl>
    <w:lvl w:ilvl="1">
      <w:start w:val="1"/>
      <w:numFmt w:val="decimal"/>
      <w:lvlText w:val="%1.%2."/>
      <w:lvlJc w:val="left"/>
      <w:pPr>
        <w:ind w:left="688" w:hanging="387"/>
        <w:jc w:val="left"/>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853" w:hanging="552"/>
        <w:jc w:val="left"/>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1855" w:hanging="552"/>
      </w:pPr>
      <w:rPr>
        <w:rFonts w:hint="default"/>
        <w:lang w:val="tr-TR" w:eastAsia="en-US" w:bidi="ar-SA"/>
      </w:rPr>
    </w:lvl>
    <w:lvl w:ilvl="4">
      <w:numFmt w:val="bullet"/>
      <w:lvlText w:val="•"/>
      <w:lvlJc w:val="left"/>
      <w:pPr>
        <w:ind w:left="2851" w:hanging="552"/>
      </w:pPr>
      <w:rPr>
        <w:rFonts w:hint="default"/>
        <w:lang w:val="tr-TR" w:eastAsia="en-US" w:bidi="ar-SA"/>
      </w:rPr>
    </w:lvl>
    <w:lvl w:ilvl="5">
      <w:numFmt w:val="bullet"/>
      <w:lvlText w:val="•"/>
      <w:lvlJc w:val="left"/>
      <w:pPr>
        <w:ind w:left="3847" w:hanging="552"/>
      </w:pPr>
      <w:rPr>
        <w:rFonts w:hint="default"/>
        <w:lang w:val="tr-TR" w:eastAsia="en-US" w:bidi="ar-SA"/>
      </w:rPr>
    </w:lvl>
    <w:lvl w:ilvl="6">
      <w:numFmt w:val="bullet"/>
      <w:lvlText w:val="•"/>
      <w:lvlJc w:val="left"/>
      <w:pPr>
        <w:ind w:left="4843" w:hanging="552"/>
      </w:pPr>
      <w:rPr>
        <w:rFonts w:hint="default"/>
        <w:lang w:val="tr-TR" w:eastAsia="en-US" w:bidi="ar-SA"/>
      </w:rPr>
    </w:lvl>
    <w:lvl w:ilvl="7">
      <w:numFmt w:val="bullet"/>
      <w:lvlText w:val="•"/>
      <w:lvlJc w:val="left"/>
      <w:pPr>
        <w:ind w:left="5839" w:hanging="552"/>
      </w:pPr>
      <w:rPr>
        <w:rFonts w:hint="default"/>
        <w:lang w:val="tr-TR" w:eastAsia="en-US" w:bidi="ar-SA"/>
      </w:rPr>
    </w:lvl>
    <w:lvl w:ilvl="8">
      <w:numFmt w:val="bullet"/>
      <w:lvlText w:val="•"/>
      <w:lvlJc w:val="left"/>
      <w:pPr>
        <w:ind w:left="6834" w:hanging="552"/>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00537D"/>
    <w:rsid w:val="0000537D"/>
    <w:rsid w:val="00951516"/>
    <w:rsid w:val="00D84D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0537D"/>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0537D"/>
    <w:tblPr>
      <w:tblInd w:w="0" w:type="dxa"/>
      <w:tblCellMar>
        <w:top w:w="0" w:type="dxa"/>
        <w:left w:w="0" w:type="dxa"/>
        <w:bottom w:w="0" w:type="dxa"/>
        <w:right w:w="0" w:type="dxa"/>
      </w:tblCellMar>
    </w:tblPr>
  </w:style>
  <w:style w:type="paragraph" w:styleId="GvdeMetni">
    <w:name w:val="Body Text"/>
    <w:basedOn w:val="Normal"/>
    <w:uiPriority w:val="1"/>
    <w:qFormat/>
    <w:rsid w:val="0000537D"/>
  </w:style>
  <w:style w:type="paragraph" w:customStyle="1" w:styleId="Heading1">
    <w:name w:val="Heading 1"/>
    <w:basedOn w:val="Normal"/>
    <w:uiPriority w:val="1"/>
    <w:qFormat/>
    <w:rsid w:val="0000537D"/>
    <w:pPr>
      <w:spacing w:before="102"/>
      <w:ind w:left="522" w:hanging="553"/>
      <w:outlineLvl w:val="1"/>
    </w:pPr>
    <w:rPr>
      <w:b/>
      <w:bCs/>
    </w:rPr>
  </w:style>
  <w:style w:type="paragraph" w:styleId="ListeParagraf">
    <w:name w:val="List Paragraph"/>
    <w:basedOn w:val="Normal"/>
    <w:uiPriority w:val="1"/>
    <w:qFormat/>
    <w:rsid w:val="0000537D"/>
    <w:pPr>
      <w:spacing w:before="102"/>
      <w:ind w:left="522" w:hanging="553"/>
    </w:pPr>
  </w:style>
  <w:style w:type="paragraph" w:customStyle="1" w:styleId="TableParagraph">
    <w:name w:val="Table Paragraph"/>
    <w:basedOn w:val="Normal"/>
    <w:uiPriority w:val="1"/>
    <w:qFormat/>
    <w:rsid w:val="0000537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cp:lastModifiedBy>
  <cp:revision>2</cp:revision>
  <dcterms:created xsi:type="dcterms:W3CDTF">2020-05-09T09:49:00Z</dcterms:created>
  <dcterms:modified xsi:type="dcterms:W3CDTF">2020-05-09T09:49:00Z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2015-01-14T00:00:00Z</vt:filetime>
  </property>
  <property fmtid="{D5CDD505-2E9C-101B-9397-08002B2CF9AE}" pid="3" name="LastSaved">
    <vt:filetime>2020-05-09T00:00:00Z</vt:filetime>
  </property>
</Properties>
</file>